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4E2" w:rsidRDefault="00C96A0C">
      <w:pPr>
        <w:pStyle w:val="Standard"/>
        <w:jc w:val="both"/>
        <w:rPr>
          <w:b/>
        </w:rPr>
      </w:pPr>
      <w:bookmarkStart w:id="0" w:name="_GoBack"/>
      <w:bookmarkEnd w:id="0"/>
      <w:r>
        <w:rPr>
          <w:b/>
          <w:bCs/>
          <w:i/>
          <w:iCs/>
        </w:rPr>
        <w:t>Dieses Transaktionspapier  muss für die Verkäufe von biologisch zertifizierten Tieren verwendt werden.</w:t>
      </w:r>
    </w:p>
    <w:p w:rsidR="009414E2" w:rsidRDefault="00C96A0C">
      <w:pPr>
        <w:pStyle w:val="Standard"/>
        <w:jc w:val="both"/>
        <w:rPr>
          <w:lang w:val="de-DE"/>
        </w:rPr>
      </w:pPr>
      <w:r>
        <w:rPr>
          <w:lang w:val="de-DE"/>
        </w:rPr>
        <w:t>Certisys hat ein « Transaktionspapier » eingeführt, das bei jedem Verkauf benutzt</w:t>
      </w:r>
      <w:r>
        <w:rPr>
          <w:lang w:val="de-DE"/>
        </w:rPr>
        <w:t xml:space="preserve"> werden soll und die Rückverfolgbarkeit der Tiere und des Fleischs sichern soll.Dieses obligatorische Papier darf jedoch nur benutzt werden, wenn Sie für die entsprechenden Tiere ein gültiges Bio-Zertifikat vorweisen können. Eine Kopie dieses Zertifikats m</w:t>
      </w:r>
      <w:r>
        <w:rPr>
          <w:lang w:val="de-DE"/>
        </w:rPr>
        <w:t>uss dem Käufer vor der ersten Kaufhandlung ausgehändigt werden, damit dieser dessen Gültigkeit überprüfen kann.</w:t>
      </w:r>
    </w:p>
    <w:p w:rsidR="009414E2" w:rsidRDefault="00C96A0C">
      <w:pPr>
        <w:pStyle w:val="Corpsdetexte2"/>
        <w:jc w:val="both"/>
      </w:pPr>
      <w:r>
        <w:t>Dieses das Tier begleitende Papier stellt die Garantie des Lieferanten dar, dass das Tier (oder das Fleisch) aus kontrolliert ökologischer Produ</w:t>
      </w:r>
      <w:r>
        <w:t>ktion stammt. Für Tiere, die während der Umstellungszeit verkauft werden, gibt es eine spezielle Verkaufsbescheinigung (dieses Formular erhalten Sie gerne von Certisys auf Nachfrage).</w:t>
      </w:r>
    </w:p>
    <w:p w:rsidR="009414E2" w:rsidRDefault="00C96A0C">
      <w:pPr>
        <w:pStyle w:val="Standard"/>
        <w:jc w:val="both"/>
      </w:pPr>
      <w:r>
        <w:rPr>
          <w:lang w:val="de-DE"/>
        </w:rPr>
        <w:t xml:space="preserve">Dieses Papier </w:t>
      </w:r>
      <w:r>
        <w:rPr>
          <w:caps/>
          <w:u w:val="single"/>
          <w:lang w:val="de-DE"/>
        </w:rPr>
        <w:t>stellt auf keinen Fall ein Zertifikat dar</w:t>
      </w:r>
      <w:r>
        <w:rPr>
          <w:lang w:val="de-DE"/>
        </w:rPr>
        <w:t xml:space="preserve"> und ersetzt auch</w:t>
      </w:r>
      <w:r>
        <w:rPr>
          <w:lang w:val="de-DE"/>
        </w:rPr>
        <w:t xml:space="preserve"> nicht das Zertifikat, das Sie nach der Jahreskontrolle erhalten.</w:t>
      </w:r>
    </w:p>
    <w:p w:rsidR="009414E2" w:rsidRDefault="00C96A0C">
      <w:pPr>
        <w:pStyle w:val="Standard"/>
        <w:jc w:val="both"/>
        <w:rPr>
          <w:lang w:val="de-DE"/>
        </w:rPr>
      </w:pPr>
      <w:r>
        <w:rPr>
          <w:lang w:val="de-DE"/>
        </w:rPr>
        <w:t>Certisys wird den Gebrauch dieser Transaktionspapiere bei Ihnen, bei Ihren Kunden oder Ihren Lieferanten überprüfen.</w:t>
      </w:r>
    </w:p>
    <w:p w:rsidR="009414E2" w:rsidRDefault="00C96A0C">
      <w:pPr>
        <w:pStyle w:val="Standard"/>
        <w:jc w:val="both"/>
        <w:rPr>
          <w:lang w:val="de-DE"/>
        </w:rPr>
      </w:pPr>
      <w:r>
        <w:rPr>
          <w:lang w:val="de-DE"/>
        </w:rPr>
        <w:t>Der Nicht-Gebrauch bzw. der unlautere Gebrauch dieses Papiers kann Sankti</w:t>
      </w:r>
      <w:r>
        <w:rPr>
          <w:lang w:val="de-DE"/>
        </w:rPr>
        <w:t>onen nach sich ziehen, die von einer einfachen Verbesserungsmaßnahme bis zum Entzug der Lizenz sowie zu einer Mitteilung an die zuständigen Behörden reichen können.</w:t>
      </w:r>
    </w:p>
    <w:p w:rsidR="009414E2" w:rsidRDefault="00C96A0C">
      <w:pPr>
        <w:pStyle w:val="Standard"/>
      </w:pPr>
      <w:r>
        <w:rPr>
          <w:lang w:val="de-DE"/>
        </w:rPr>
        <w:t>Die Transaktionspapiere, die dem Landwirt zugestellt werden sind nummeriert und bis Fristab</w:t>
      </w:r>
      <w:r>
        <w:rPr>
          <w:lang w:val="de-DE"/>
        </w:rPr>
        <w:t xml:space="preserve">lauf verwendbar. Der Landwirt kann neue Formulare per Post, Fax (081/60.03.13), Telefon (081/60.03.77) oder email bei </w:t>
      </w:r>
      <w:hyperlink r:id="rId7" w:history="1">
        <w:r>
          <w:t>info@certisys.eu</w:t>
        </w:r>
      </w:hyperlink>
      <w:r>
        <w:t>", anfordern.</w:t>
      </w:r>
    </w:p>
    <w:p w:rsidR="009414E2" w:rsidRDefault="00C96A0C">
      <w:pPr>
        <w:pStyle w:val="Standard"/>
        <w:jc w:val="both"/>
        <w:rPr>
          <w:lang w:val="de-DE"/>
        </w:rPr>
      </w:pPr>
      <w:r>
        <w:rPr>
          <w:lang w:val="de-DE"/>
        </w:rPr>
        <w:t>Die nicht verwendeten Formulare müssen aufbewahrt werden. Sie bleib</w:t>
      </w:r>
      <w:r>
        <w:rPr>
          <w:lang w:val="de-DE"/>
        </w:rPr>
        <w:t xml:space="preserve">en Eigentum von Certisys und dürfen nicht verliehen oder ausgetauscht werden. </w:t>
      </w:r>
      <w:r>
        <w:rPr>
          <w:b/>
          <w:bCs/>
          <w:lang w:val="de-DE"/>
        </w:rPr>
        <w:t>Die Papiere müssen unterschrieben werden.</w:t>
      </w:r>
    </w:p>
    <w:p w:rsidR="009414E2" w:rsidRDefault="00C96A0C">
      <w:pPr>
        <w:pStyle w:val="Titre1"/>
        <w:tabs>
          <w:tab w:val="left" w:pos="0"/>
        </w:tabs>
        <w:jc w:val="both"/>
      </w:pPr>
      <w:r>
        <w:t>Gebrauch der Transaktionspapiere</w:t>
      </w:r>
      <w:r>
        <w:rPr>
          <w:u w:val="none"/>
        </w:rPr>
        <w:t>:</w:t>
      </w:r>
    </w:p>
    <w:p w:rsidR="009414E2" w:rsidRDefault="00C96A0C">
      <w:pPr>
        <w:pStyle w:val="Standard"/>
        <w:spacing w:before="60"/>
        <w:jc w:val="both"/>
        <w:rPr>
          <w:lang w:val="de-DE"/>
        </w:rPr>
      </w:pPr>
      <w:r>
        <w:rPr>
          <w:lang w:val="de-DE"/>
        </w:rPr>
        <w:t>Es gibt drei Sorten von Transaktionspapieren:</w:t>
      </w:r>
    </w:p>
    <w:p w:rsidR="009414E2" w:rsidRDefault="00C96A0C">
      <w:pPr>
        <w:pStyle w:val="Standard"/>
        <w:numPr>
          <w:ilvl w:val="0"/>
          <w:numId w:val="3"/>
        </w:numPr>
        <w:tabs>
          <w:tab w:val="left" w:pos="1124"/>
        </w:tabs>
        <w:ind w:left="704" w:firstLine="0"/>
        <w:jc w:val="both"/>
        <w:rPr>
          <w:lang w:val="de-DE"/>
        </w:rPr>
      </w:pPr>
      <w:r>
        <w:rPr>
          <w:lang w:val="de-DE"/>
        </w:rPr>
        <w:t xml:space="preserve">ein Transaktionspapier für Rinderartige (Rinder, Bisons </w:t>
      </w:r>
      <w:r>
        <w:rPr>
          <w:lang w:val="de-DE"/>
        </w:rPr>
        <w:t>etc.)</w:t>
      </w:r>
    </w:p>
    <w:p w:rsidR="009414E2" w:rsidRDefault="00C96A0C">
      <w:pPr>
        <w:pStyle w:val="Standard"/>
        <w:numPr>
          <w:ilvl w:val="0"/>
          <w:numId w:val="2"/>
        </w:numPr>
        <w:tabs>
          <w:tab w:val="left" w:pos="1124"/>
        </w:tabs>
        <w:ind w:left="704" w:firstLine="0"/>
        <w:jc w:val="both"/>
        <w:rPr>
          <w:lang w:val="de-DE"/>
        </w:rPr>
      </w:pPr>
      <w:r>
        <w:rPr>
          <w:lang w:val="de-DE"/>
        </w:rPr>
        <w:t>ein Transaktionspapier für Pferde, Schweine und Geflügel</w:t>
      </w:r>
    </w:p>
    <w:p w:rsidR="009414E2" w:rsidRDefault="00C96A0C">
      <w:pPr>
        <w:pStyle w:val="Standard"/>
        <w:numPr>
          <w:ilvl w:val="0"/>
          <w:numId w:val="2"/>
        </w:numPr>
        <w:tabs>
          <w:tab w:val="left" w:pos="1124"/>
        </w:tabs>
        <w:ind w:left="704" w:firstLine="0"/>
        <w:jc w:val="both"/>
        <w:rPr>
          <w:lang w:val="de-DE"/>
        </w:rPr>
      </w:pPr>
      <w:r>
        <w:rPr>
          <w:lang w:val="de-DE"/>
        </w:rPr>
        <w:t>ein Transaktionspapier für Schafe , Ziegen und Wild.</w:t>
      </w:r>
    </w:p>
    <w:p w:rsidR="009414E2" w:rsidRDefault="00C96A0C">
      <w:pPr>
        <w:pStyle w:val="Standard"/>
        <w:jc w:val="both"/>
        <w:rPr>
          <w:lang w:val="de-DE"/>
        </w:rPr>
      </w:pPr>
      <w:r>
        <w:rPr>
          <w:lang w:val="de-DE"/>
        </w:rPr>
        <w:t>Die Formulare unter 1. und 2. setzen sich aus 3 Blättern zusammen:</w:t>
      </w:r>
    </w:p>
    <w:p w:rsidR="009414E2" w:rsidRDefault="00C96A0C">
      <w:pPr>
        <w:pStyle w:val="Standard"/>
        <w:numPr>
          <w:ilvl w:val="0"/>
          <w:numId w:val="4"/>
        </w:numPr>
        <w:tabs>
          <w:tab w:val="left" w:pos="1124"/>
        </w:tabs>
        <w:ind w:left="704" w:firstLine="0"/>
        <w:jc w:val="both"/>
        <w:rPr>
          <w:lang w:val="de-DE"/>
        </w:rPr>
      </w:pPr>
      <w:r>
        <w:rPr>
          <w:lang w:val="de-DE"/>
        </w:rPr>
        <w:t xml:space="preserve">eines für </w:t>
      </w:r>
      <w:r>
        <w:rPr>
          <w:b/>
          <w:bCs/>
          <w:u w:val="single"/>
          <w:lang w:val="de-DE"/>
        </w:rPr>
        <w:t>Certisys</w:t>
      </w:r>
      <w:r>
        <w:rPr>
          <w:lang w:val="de-DE"/>
        </w:rPr>
        <w:t xml:space="preserve">: dieses ist unverzüglich nach dem Schlachten / Kauf </w:t>
      </w:r>
      <w:r>
        <w:rPr>
          <w:lang w:val="de-DE"/>
        </w:rPr>
        <w:t>vom Käufer an Certisys zurückzusenden. (weißes Exemplar)</w:t>
      </w:r>
    </w:p>
    <w:p w:rsidR="009414E2" w:rsidRDefault="00C96A0C">
      <w:pPr>
        <w:pStyle w:val="Standard"/>
        <w:numPr>
          <w:ilvl w:val="0"/>
          <w:numId w:val="4"/>
        </w:numPr>
        <w:tabs>
          <w:tab w:val="left" w:pos="1124"/>
        </w:tabs>
        <w:ind w:left="704" w:firstLine="0"/>
        <w:jc w:val="both"/>
        <w:rPr>
          <w:lang w:val="de-DE"/>
        </w:rPr>
      </w:pPr>
      <w:r>
        <w:rPr>
          <w:lang w:val="de-DE"/>
        </w:rPr>
        <w:t xml:space="preserve">eines für </w:t>
      </w:r>
      <w:r>
        <w:rPr>
          <w:b/>
          <w:bCs/>
          <w:u w:val="single"/>
          <w:lang w:val="de-DE"/>
        </w:rPr>
        <w:t>den Käufer</w:t>
      </w:r>
      <w:r>
        <w:rPr>
          <w:lang w:val="de-DE"/>
        </w:rPr>
        <w:t>: dieses Exemplar muss mindestens 2 Jahre für zukünftige Kontrollen aufbewahrt werden (blaues Exemplar)</w:t>
      </w:r>
    </w:p>
    <w:p w:rsidR="009414E2" w:rsidRDefault="00C96A0C">
      <w:pPr>
        <w:pStyle w:val="Standard"/>
        <w:numPr>
          <w:ilvl w:val="0"/>
          <w:numId w:val="5"/>
        </w:numPr>
        <w:tabs>
          <w:tab w:val="left" w:pos="1140"/>
        </w:tabs>
        <w:ind w:firstLine="0"/>
        <w:jc w:val="both"/>
        <w:rPr>
          <w:lang w:val="de-DE"/>
        </w:rPr>
      </w:pPr>
      <w:r>
        <w:rPr>
          <w:lang w:val="de-DE"/>
        </w:rPr>
        <w:t xml:space="preserve">eines für </w:t>
      </w:r>
      <w:r>
        <w:rPr>
          <w:b/>
          <w:bCs/>
          <w:u w:val="single"/>
          <w:lang w:val="de-DE"/>
        </w:rPr>
        <w:t>den Landwirt</w:t>
      </w:r>
      <w:r>
        <w:rPr>
          <w:lang w:val="de-DE"/>
        </w:rPr>
        <w:t>: dieses Exemplar muss  mindestens 2 Jahren für zukü</w:t>
      </w:r>
      <w:r>
        <w:rPr>
          <w:lang w:val="de-DE"/>
        </w:rPr>
        <w:t>nftige Kontrollen aufbewahrt werden (rosa Exemplar)</w:t>
      </w:r>
    </w:p>
    <w:p w:rsidR="009414E2" w:rsidRDefault="00C96A0C">
      <w:pPr>
        <w:pStyle w:val="Standard"/>
        <w:tabs>
          <w:tab w:val="left" w:pos="420"/>
        </w:tabs>
        <w:spacing w:before="60"/>
        <w:jc w:val="both"/>
        <w:rPr>
          <w:lang w:val="de-DE"/>
        </w:rPr>
      </w:pPr>
      <w:r>
        <w:rPr>
          <w:lang w:val="de-DE"/>
        </w:rPr>
        <w:t>Das Transaktionspapier für Schafe , Ziegen und Wild hat noch ein 4. Exemplar, für die Afsca. Es wird als Transportpapier benutzt.</w:t>
      </w:r>
    </w:p>
    <w:p w:rsidR="009414E2" w:rsidRDefault="00C96A0C">
      <w:pPr>
        <w:pStyle w:val="Standard"/>
        <w:tabs>
          <w:tab w:val="left" w:pos="420"/>
        </w:tabs>
        <w:spacing w:before="60"/>
        <w:jc w:val="both"/>
        <w:rPr>
          <w:b/>
          <w:bCs/>
          <w:lang w:val="de-DE"/>
        </w:rPr>
      </w:pPr>
      <w:r>
        <w:rPr>
          <w:b/>
          <w:bCs/>
          <w:lang w:val="de-DE"/>
        </w:rPr>
        <w:t xml:space="preserve">Es ist wichtig, dass Sie die Transaktionspapiere vollständig und korrekt </w:t>
      </w:r>
      <w:r>
        <w:rPr>
          <w:b/>
          <w:bCs/>
          <w:lang w:val="de-DE"/>
        </w:rPr>
        <w:t>ausfüllen.</w:t>
      </w:r>
    </w:p>
    <w:p w:rsidR="009414E2" w:rsidRDefault="00C96A0C">
      <w:pPr>
        <w:pStyle w:val="Standard"/>
        <w:spacing w:before="60"/>
        <w:jc w:val="both"/>
      </w:pPr>
      <w:r>
        <w:rPr>
          <w:u w:val="single"/>
          <w:lang w:val="de-DE"/>
        </w:rPr>
        <w:t>Der Landwirt</w:t>
      </w:r>
      <w:r>
        <w:rPr>
          <w:lang w:val="de-DE"/>
        </w:rPr>
        <w:t>:</w:t>
      </w:r>
    </w:p>
    <w:p w:rsidR="009414E2" w:rsidRDefault="00C96A0C">
      <w:pPr>
        <w:pStyle w:val="Standard"/>
        <w:spacing w:before="60"/>
        <w:jc w:val="both"/>
        <w:rPr>
          <w:lang w:val="de-DE"/>
        </w:rPr>
      </w:pPr>
      <w:r>
        <w:rPr>
          <w:lang w:val="de-DE"/>
        </w:rPr>
        <w:t>Der Landwirt füllt den ersten Teil des Formulars « Transaktionspapier » aus. Dabei dürfen bei Rindern und Pferden 1 Tier pro Papier angegeben werden. Für Schafe, Ziegen und Wild richten Sie sich bitte nach den Angaben unten auf dem</w:t>
      </w:r>
      <w:r>
        <w:rPr>
          <w:lang w:val="de-DE"/>
        </w:rPr>
        <w:t xml:space="preserve"> entsprechenden Papier.. Der Landwirt behält sein Exemplar (Rosa) und gibt die anderen Exemplare an den Transporteur weiter.</w:t>
      </w:r>
    </w:p>
    <w:p w:rsidR="009414E2" w:rsidRDefault="00C96A0C">
      <w:pPr>
        <w:pStyle w:val="Standard"/>
        <w:spacing w:before="120"/>
        <w:jc w:val="both"/>
      </w:pPr>
      <w:r>
        <w:rPr>
          <w:u w:val="single"/>
          <w:lang w:val="de-DE"/>
        </w:rPr>
        <w:t>Der Schlachthof</w:t>
      </w:r>
      <w:r>
        <w:rPr>
          <w:lang w:val="de-DE"/>
        </w:rPr>
        <w:t>:</w:t>
      </w:r>
    </w:p>
    <w:p w:rsidR="009414E2" w:rsidRDefault="00C96A0C">
      <w:pPr>
        <w:pStyle w:val="Standard"/>
        <w:spacing w:before="60"/>
        <w:jc w:val="both"/>
        <w:rPr>
          <w:lang w:val="de-DE"/>
        </w:rPr>
      </w:pPr>
      <w:r>
        <w:rPr>
          <w:lang w:val="de-DE"/>
        </w:rPr>
        <w:t xml:space="preserve">Der Schlachthof füllt den dritten Teil des Dokuments aus und </w:t>
      </w:r>
      <w:r>
        <w:rPr>
          <w:b/>
          <w:bCs/>
          <w:lang w:val="de-DE"/>
        </w:rPr>
        <w:t>schickt es per Fax innerhalb von 24 Stunden</w:t>
      </w:r>
      <w:r>
        <w:rPr>
          <w:lang w:val="de-DE"/>
        </w:rPr>
        <w:t xml:space="preserve"> nach dem </w:t>
      </w:r>
      <w:r>
        <w:rPr>
          <w:lang w:val="de-DE"/>
        </w:rPr>
        <w:t>Schlachten der Tiere an seine Kontrollstelle.</w:t>
      </w:r>
    </w:p>
    <w:p w:rsidR="009414E2" w:rsidRDefault="00C96A0C">
      <w:pPr>
        <w:pStyle w:val="Standard"/>
        <w:spacing w:before="120"/>
        <w:jc w:val="both"/>
      </w:pPr>
      <w:r>
        <w:rPr>
          <w:u w:val="single"/>
          <w:lang w:val="de-DE"/>
        </w:rPr>
        <w:t>Der Käufer</w:t>
      </w:r>
      <w:r>
        <w:rPr>
          <w:lang w:val="de-DE"/>
        </w:rPr>
        <w:t>:</w:t>
      </w:r>
    </w:p>
    <w:p w:rsidR="009414E2" w:rsidRDefault="00C96A0C">
      <w:pPr>
        <w:pStyle w:val="Standard"/>
        <w:spacing w:before="60"/>
        <w:jc w:val="both"/>
        <w:rPr>
          <w:lang w:val="de-DE"/>
        </w:rPr>
      </w:pPr>
      <w:r>
        <w:rPr>
          <w:lang w:val="de-DE"/>
        </w:rPr>
        <w:t>Es ist sehr wichtig, dass der Käufer bei Erhalt von Tieren oder Fleisch überprüft, ob die auf dem Transaktionspapier eingetragenen Angaben mit den Angaben des Zertifikats und mit den am Tier befesti</w:t>
      </w:r>
      <w:r>
        <w:rPr>
          <w:lang w:val="de-DE"/>
        </w:rPr>
        <w:t xml:space="preserve">gten Angaben übereinstimmen (EWG-Verordnung  889/2008, Art </w:t>
      </w:r>
      <w:r>
        <w:rPr>
          <w:color w:val="800000"/>
          <w:lang w:val="de-DE"/>
        </w:rPr>
        <w:t>75</w:t>
      </w:r>
      <w:r>
        <w:rPr>
          <w:lang w:val="de-DE"/>
        </w:rPr>
        <w:t>).</w:t>
      </w:r>
    </w:p>
    <w:p w:rsidR="009414E2" w:rsidRDefault="00C96A0C">
      <w:pPr>
        <w:pStyle w:val="Standard"/>
        <w:spacing w:before="60"/>
        <w:jc w:val="both"/>
        <w:rPr>
          <w:lang w:val="de-DE"/>
        </w:rPr>
      </w:pPr>
      <w:r>
        <w:rPr>
          <w:lang w:val="de-DE"/>
        </w:rPr>
        <w:t>Im Falle eines Zweifels, dass das Tier/Fleisch aus ökologischer Erzeugung stammt, darf das Tier/Fleisch erst nach dem Ausräumen des Zweifels in die biologischen Haltung integriert bzw. verarbe</w:t>
      </w:r>
      <w:r>
        <w:rPr>
          <w:lang w:val="de-DE"/>
        </w:rPr>
        <w:t>itet oder verpackt werden. Nach Empfang der Tiere/Ware muss der Käufer das Transaktionspapier an Certisys zurücksenden.</w:t>
      </w:r>
    </w:p>
    <w:p w:rsidR="009414E2" w:rsidRDefault="00C96A0C">
      <w:pPr>
        <w:pStyle w:val="Standard"/>
        <w:spacing w:before="60"/>
        <w:jc w:val="both"/>
        <w:rPr>
          <w:lang w:val="de-DE"/>
        </w:rPr>
      </w:pPr>
      <w:r>
        <w:rPr>
          <w:lang w:val="de-DE"/>
        </w:rPr>
        <w:t>Wir bedanken uns für ihre Zusammenarbeit beim Gebrauch dieses Formulars. Dies wird eine bessere Nachverfolgung der Konformität der Tiere</w:t>
      </w:r>
      <w:r>
        <w:rPr>
          <w:lang w:val="de-DE"/>
        </w:rPr>
        <w:t xml:space="preserve"> über die gesamte Kette ermöglichen.</w:t>
      </w:r>
    </w:p>
    <w:sectPr w:rsidR="009414E2">
      <w:headerReference w:type="default" r:id="rId8"/>
      <w:footerReference w:type="default" r:id="rId9"/>
      <w:pgSz w:w="11905" w:h="16837"/>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A0C" w:rsidRDefault="00C96A0C">
      <w:r>
        <w:separator/>
      </w:r>
    </w:p>
  </w:endnote>
  <w:endnote w:type="continuationSeparator" w:id="0">
    <w:p w:rsidR="00C96A0C" w:rsidRDefault="00C96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Times New Roman"/>
    <w:charset w:val="00"/>
    <w:family w:val="auto"/>
    <w:pitch w:val="default"/>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auto"/>
    <w:pitch w:val="variable"/>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230" w:rsidRDefault="00C96A0C">
    <w:pPr>
      <w:pStyle w:val="Pieddepage"/>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A0C" w:rsidRDefault="00C96A0C">
      <w:r>
        <w:rPr>
          <w:color w:val="000000"/>
        </w:rPr>
        <w:separator/>
      </w:r>
    </w:p>
  </w:footnote>
  <w:footnote w:type="continuationSeparator" w:id="0">
    <w:p w:rsidR="00C96A0C" w:rsidRDefault="00C96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1" w:type="dxa"/>
      <w:tblLayout w:type="fixed"/>
      <w:tblCellMar>
        <w:left w:w="10" w:type="dxa"/>
        <w:right w:w="10" w:type="dxa"/>
      </w:tblCellMar>
      <w:tblLook w:val="0000" w:firstRow="0" w:lastRow="0" w:firstColumn="0" w:lastColumn="0" w:noHBand="0" w:noVBand="0"/>
    </w:tblPr>
    <w:tblGrid>
      <w:gridCol w:w="1215"/>
      <w:gridCol w:w="6780"/>
      <w:gridCol w:w="1076"/>
    </w:tblGrid>
    <w:tr w:rsidR="00C34230">
      <w:tblPrEx>
        <w:tblCellMar>
          <w:top w:w="0" w:type="dxa"/>
          <w:bottom w:w="0" w:type="dxa"/>
        </w:tblCellMar>
      </w:tblPrEx>
      <w:tc>
        <w:tcPr>
          <w:tcW w:w="1215" w:type="dxa"/>
          <w:tcBorders>
            <w:top w:val="single" w:sz="2" w:space="0" w:color="000000"/>
            <w:left w:val="single" w:sz="2" w:space="0" w:color="000000"/>
            <w:bottom w:val="single" w:sz="2" w:space="0" w:color="000000"/>
          </w:tcBorders>
          <w:tcMar>
            <w:top w:w="55" w:type="dxa"/>
            <w:left w:w="55" w:type="dxa"/>
            <w:bottom w:w="55" w:type="dxa"/>
            <w:right w:w="55" w:type="dxa"/>
          </w:tcMar>
        </w:tcPr>
        <w:p w:rsidR="00C34230" w:rsidRDefault="00C96A0C">
          <w:pPr>
            <w:pStyle w:val="En-tte"/>
            <w:rPr>
              <w:lang w:val="de-DE"/>
            </w:rPr>
          </w:pPr>
          <w:r>
            <w:rPr>
              <w:lang w:val="de-DE"/>
            </w:rPr>
            <w:t>OR3241de05</w:t>
          </w:r>
        </w:p>
      </w:tc>
      <w:tc>
        <w:tcPr>
          <w:tcW w:w="6780" w:type="dxa"/>
          <w:tcBorders>
            <w:top w:val="single" w:sz="2" w:space="0" w:color="000000"/>
            <w:left w:val="single" w:sz="2" w:space="0" w:color="000000"/>
            <w:bottom w:val="single" w:sz="2" w:space="0" w:color="000000"/>
          </w:tcBorders>
          <w:tcMar>
            <w:top w:w="55" w:type="dxa"/>
            <w:left w:w="55" w:type="dxa"/>
            <w:bottom w:w="55" w:type="dxa"/>
            <w:right w:w="55" w:type="dxa"/>
          </w:tcMar>
        </w:tcPr>
        <w:p w:rsidR="00C34230" w:rsidRDefault="00C96A0C">
          <w:pPr>
            <w:pStyle w:val="Titre"/>
            <w:rPr>
              <w:sz w:val="24"/>
            </w:rPr>
          </w:pPr>
          <w:r>
            <w:rPr>
              <w:sz w:val="24"/>
            </w:rPr>
            <w:t>TRANSAKTIONSPAPIER FÜR TIERE</w:t>
          </w:r>
        </w:p>
        <w:p w:rsidR="00C34230" w:rsidRDefault="00C96A0C">
          <w:pPr>
            <w:pStyle w:val="Standard"/>
            <w:jc w:val="center"/>
            <w:rPr>
              <w:b/>
              <w:sz w:val="24"/>
              <w:u w:val="single"/>
              <w:lang w:val="de-DE"/>
            </w:rPr>
          </w:pPr>
          <w:r>
            <w:rPr>
              <w:b/>
              <w:sz w:val="24"/>
              <w:u w:val="single"/>
              <w:lang w:val="de-DE"/>
            </w:rPr>
            <w:t>GEBRAUCHSANWEISUNG</w:t>
          </w:r>
        </w:p>
      </w:tc>
      <w:tc>
        <w:tcPr>
          <w:tcW w:w="107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C34230" w:rsidRDefault="00C96A0C">
          <w:pPr>
            <w:pStyle w:val="En-tte"/>
            <w:rPr>
              <w:lang w:val="de-DE"/>
            </w:rPr>
          </w:pPr>
          <w:r>
            <w:rPr>
              <w:lang w:val="de-DE"/>
            </w:rPr>
            <w:t>11/01/16</w:t>
          </w:r>
        </w:p>
      </w:tc>
    </w:tr>
  </w:tbl>
  <w:p w:rsidR="00C34230" w:rsidRDefault="00C96A0C">
    <w:pPr>
      <w:pStyle w:val="En-tt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456C5"/>
    <w:multiLevelType w:val="multilevel"/>
    <w:tmpl w:val="FC96CFD8"/>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1" w15:restartNumberingAfterBreak="0">
    <w:nsid w:val="3B8061AD"/>
    <w:multiLevelType w:val="multilevel"/>
    <w:tmpl w:val="EDD6D0BE"/>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4E927FD4"/>
    <w:multiLevelType w:val="multilevel"/>
    <w:tmpl w:val="99FCED34"/>
    <w:styleLink w:val="WW8Num2"/>
    <w:lvl w:ilvl="0">
      <w:start w:val="1"/>
      <w:numFmt w:val="decimal"/>
      <w:lvlText w:val="%1."/>
      <w:lvlJc w:val="left"/>
      <w:pPr>
        <w:ind w:left="420" w:hanging="4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2"/>
  </w:num>
  <w:num w:numId="3">
    <w:abstractNumId w:val="2"/>
    <w:lvlOverride w:ilvl="0">
      <w:startOverride w:val="1"/>
    </w:lvlOverride>
  </w:num>
  <w:num w:numId="4">
    <w:abstractNumId w:val="0"/>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9414E2"/>
    <w:rsid w:val="009414E2"/>
    <w:rsid w:val="00BB1D12"/>
    <w:rsid w:val="00C96A0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DF7F54-6E42-401E-9D3B-FC35C2A8C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1">
    <w:name w:val="heading 1"/>
    <w:basedOn w:val="Standard"/>
    <w:next w:val="Standard"/>
    <w:pPr>
      <w:keepNext/>
      <w:spacing w:before="120"/>
      <w:outlineLvl w:val="0"/>
    </w:pPr>
    <w:rPr>
      <w:u w:val="single"/>
      <w:lang w:val="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pPr>
    <w:rPr>
      <w:rFonts w:eastAsia="Times New Roman" w:cs="Times New Roman"/>
      <w:sz w:val="20"/>
      <w:szCs w:val="20"/>
      <w:lang w:val="fr-FR" w:eastAsia="fr-FR" w:bidi="fr-FR"/>
    </w:rPr>
  </w:style>
  <w:style w:type="paragraph" w:customStyle="1" w:styleId="Textbody">
    <w:name w:val="Text body"/>
    <w:basedOn w:val="Standard"/>
    <w:rPr>
      <w:b/>
      <w:i/>
      <w:sz w:val="24"/>
      <w:lang w:val="de-DE"/>
    </w:rPr>
  </w:style>
  <w:style w:type="paragraph" w:customStyle="1" w:styleId="Heading">
    <w:name w:val="Heading"/>
    <w:basedOn w:val="Standard"/>
    <w:next w:val="Textbody"/>
    <w:pPr>
      <w:keepNext/>
      <w:spacing w:before="240" w:after="120"/>
    </w:pPr>
    <w:rPr>
      <w:rFonts w:ascii="Arial" w:eastAsia="Lucida Sans Unicode" w:hAnsi="Arial" w:cs="Tahoma"/>
      <w:sz w:val="28"/>
      <w:szCs w:val="28"/>
    </w:rPr>
  </w:style>
  <w:style w:type="paragraph" w:styleId="Liste">
    <w:name w:val="List"/>
    <w:basedOn w:val="Textbody"/>
    <w:rPr>
      <w:rFonts w:cs="Tahoma"/>
    </w:rPr>
  </w:style>
  <w:style w:type="paragraph" w:styleId="En-tte">
    <w:name w:val="header"/>
    <w:basedOn w:val="Standard"/>
    <w:pPr>
      <w:tabs>
        <w:tab w:val="center" w:pos="4536"/>
        <w:tab w:val="right" w:pos="9072"/>
      </w:tabs>
    </w:pPr>
  </w:style>
  <w:style w:type="paragraph" w:styleId="Pieddepage">
    <w:name w:val="footer"/>
    <w:basedOn w:val="Standard"/>
    <w:pPr>
      <w:tabs>
        <w:tab w:val="center" w:pos="4536"/>
        <w:tab w:val="right" w:pos="9072"/>
      </w:tabs>
    </w:pPr>
  </w:style>
  <w:style w:type="paragraph" w:styleId="Lgende">
    <w:name w:val="caption"/>
    <w:basedOn w:val="Standard"/>
    <w:pPr>
      <w:suppressLineNumbers/>
      <w:spacing w:before="120" w:after="120"/>
    </w:pPr>
    <w:rPr>
      <w:rFonts w:cs="Tahoma"/>
      <w:i/>
      <w:iCs/>
      <w:sz w:val="24"/>
      <w:szCs w:val="24"/>
    </w:rPr>
  </w:style>
  <w:style w:type="paragraph" w:customStyle="1" w:styleId="Index">
    <w:name w:val="Index"/>
    <w:basedOn w:val="Standard"/>
    <w:pPr>
      <w:suppressLineNumbers/>
    </w:pPr>
    <w:rPr>
      <w:rFonts w:cs="Tahoma"/>
    </w:rPr>
  </w:style>
  <w:style w:type="paragraph" w:styleId="Titre">
    <w:name w:val="Title"/>
    <w:basedOn w:val="Standard"/>
    <w:next w:val="Sous-titre"/>
    <w:pPr>
      <w:jc w:val="center"/>
    </w:pPr>
    <w:rPr>
      <w:b/>
      <w:lang w:val="de-DE"/>
    </w:rPr>
  </w:style>
  <w:style w:type="paragraph" w:styleId="Sous-titre">
    <w:name w:val="Subtitle"/>
    <w:basedOn w:val="Heading"/>
    <w:next w:val="Textbody"/>
    <w:pPr>
      <w:jc w:val="center"/>
    </w:pPr>
    <w:rPr>
      <w:i/>
      <w:iCs/>
    </w:rPr>
  </w:style>
  <w:style w:type="paragraph" w:styleId="Corpsdetexte2">
    <w:name w:val="Body Text 2"/>
    <w:basedOn w:val="Standard"/>
    <w:rPr>
      <w:b/>
      <w:lang w:val="de-DE"/>
    </w:rPr>
  </w:style>
  <w:style w:type="paragraph" w:customStyle="1" w:styleId="TableContents">
    <w:name w:val="Table Contents"/>
    <w:basedOn w:val="Standard"/>
    <w:pPr>
      <w:suppressLineNumbers/>
    </w:pPr>
  </w:style>
  <w:style w:type="character" w:customStyle="1" w:styleId="BulletSymbols">
    <w:name w:val="Bullet Symbols"/>
    <w:rPr>
      <w:rFonts w:ascii="StarSymbol" w:eastAsia="StarSymbol" w:hAnsi="StarSymbol" w:cs="StarSymbol"/>
      <w:sz w:val="18"/>
      <w:szCs w:val="18"/>
    </w:rPr>
  </w:style>
  <w:style w:type="character" w:customStyle="1" w:styleId="Absatz-Standardschriftart">
    <w:name w:val="Absatz-Standardschriftart"/>
  </w:style>
  <w:style w:type="character" w:customStyle="1" w:styleId="Internetlink">
    <w:name w:val="Internet link"/>
    <w:rPr>
      <w:color w:val="000080"/>
      <w:u w:val="single"/>
      <w:lang/>
    </w:rPr>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certisys.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624</Words>
  <Characters>3433</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Gebrauchsanweisung T.P. für Tiere</vt:lpstr>
    </vt:vector>
  </TitlesOfParts>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Gebrauchsanweisung T.P. für Tiere</dc:title>
  <dc:creator>Vergalle Philippe</dc:creator>
  <cp:lastModifiedBy>JF</cp:lastModifiedBy>
  <cp:revision>2</cp:revision>
  <cp:lastPrinted>2008-09-24T15:26:00Z</cp:lastPrinted>
  <dcterms:created xsi:type="dcterms:W3CDTF">2016-10-26T08:05:00Z</dcterms:created>
  <dcterms:modified xsi:type="dcterms:W3CDTF">2016-10-26T08:05:00Z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